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Please find below event descriptions you can use to promote events to your students. Highlighted events are keystone events we suggest promoting widely and sharing with Directors of Graduate Studies. Promoting events can </w:t>
      </w:r>
      <w:r w:rsidDel="00000000" w:rsidR="00000000" w:rsidRPr="00000000">
        <w:rPr>
          <w:rFonts w:ascii="Calibri" w:cs="Calibri" w:eastAsia="Calibri" w:hAnsi="Calibri"/>
          <w:b w:val="1"/>
          <w:bCs w:val="1"/>
          <w:u w:val="single"/>
          <w:rtl w:val="0"/>
        </w:rPr>
        <w:t xml:space="preserve">double</w:t>
      </w:r>
      <w:r w:rsidDel="00000000" w:rsidR="00000000" w:rsidRPr="00000000">
        <w:rPr>
          <w:rFonts w:ascii="Calibri" w:cs="Calibri" w:eastAsia="Calibri" w:hAnsi="Calibri"/>
          <w:b w:val="1"/>
          <w:bCs w:val="1"/>
          <w:rtl w:val="0"/>
        </w:rPr>
        <w:t xml:space="preserve"> student engagement with career resources in the platform.</w:t>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5">
      <w:pPr>
        <w:pStyle w:val="Heading2"/>
        <w:spacing w:after="0" w:before="40" w:line="240" w:lineRule="auto"/>
        <w:rPr>
          <w:rFonts w:ascii="Calibri" w:cs="Calibri" w:eastAsia="Calibri" w:hAnsi="Calibri"/>
          <w:b w:val="1"/>
          <w:bCs w:val="1"/>
          <w:color w:val="2f5496"/>
          <w:sz w:val="22"/>
          <w:szCs w:val="22"/>
        </w:rPr>
      </w:pPr>
      <w:bookmarkStart w:colFirst="0" w:colLast="0" w:name="_gjdgxs" w:id="0"/>
      <w:bookmarkEnd w:id="0"/>
      <w:r w:rsidDel="00000000" w:rsidR="00000000" w:rsidRPr="00000000">
        <w:rPr>
          <w:rFonts w:ascii="Calibri" w:cs="Calibri" w:eastAsia="Calibri" w:hAnsi="Calibri"/>
          <w:b w:val="1"/>
          <w:bCs w:val="1"/>
          <w:color w:val="2f5496"/>
          <w:sz w:val="22"/>
          <w:szCs w:val="22"/>
          <w:rtl w:val="0"/>
        </w:rPr>
        <w:t xml:space="preserve">Overview of events: Beyond the Professoriate</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color w:val="2f5496"/>
        </w:rPr>
      </w:pPr>
      <w:r w:rsidDel="00000000" w:rsidR="00000000" w:rsidRPr="00000000">
        <w:rPr>
          <w:rFonts w:ascii="Calibri" w:cs="Calibri" w:eastAsia="Calibri" w:hAnsi="Calibri"/>
          <w:b w:val="1"/>
          <w:bCs w:val="1"/>
          <w:rtl w:val="0"/>
        </w:rPr>
        <w:t xml:space="preserve">June 3 (12:00 - 12:45 pm ET): </w:t>
      </w:r>
      <w:r w:rsidDel="00000000" w:rsidR="00000000" w:rsidRPr="00000000">
        <w:rPr>
          <w:rFonts w:ascii="Calibri" w:cs="Calibri" w:eastAsia="Calibri" w:hAnsi="Calibri"/>
          <w:rtl w:val="0"/>
        </w:rPr>
        <w:t xml:space="preserve">How to Research the Academic Job Market</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b w:val="1"/>
          <w:bCs w:val="1"/>
          <w:rtl w:val="0"/>
        </w:rPr>
        <w:t xml:space="preserve">June 17 (12:00 - 12:45 pm ET): </w:t>
      </w:r>
      <w:r w:rsidDel="00000000" w:rsidR="00000000" w:rsidRPr="00000000">
        <w:rPr>
          <w:rFonts w:ascii="Calibri" w:cs="Calibri" w:eastAsia="Calibri" w:hAnsi="Calibri"/>
          <w:rtl w:val="0"/>
        </w:rPr>
        <w:t xml:space="preserve">Should I Take My PhD and Start a Business?</w:t>
      </w:r>
    </w:p>
    <w:p w:rsidR="00000000" w:rsidDel="00000000" w:rsidP="00000000" w:rsidRDefault="00000000" w:rsidRPr="00000000" w14:paraId="00000009">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b w:val="1"/>
          <w:bCs w:val="1"/>
          <w:color w:val="2f5496"/>
          <w:rtl w:val="0"/>
        </w:rPr>
        <w:t xml:space="preserve">Event descriptions: Beyond the Professoriate</w:t>
      </w:r>
      <w:r w:rsidDel="00000000" w:rsidR="00000000" w:rsidRPr="00000000">
        <w:rPr>
          <w:rtl w:val="0"/>
        </w:rPr>
      </w:r>
    </w:p>
    <w:p w:rsidR="00000000" w:rsidDel="00000000" w:rsidP="00000000" w:rsidRDefault="00000000" w:rsidRPr="00000000" w14:paraId="0000000B">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June 3 (12:00 - 12:45 pm ET): How to Research the Academic Job Market</w:t>
      </w:r>
      <w:r w:rsidDel="00000000" w:rsidR="00000000" w:rsidRPr="00000000">
        <w:rPr>
          <w:rtl w:val="0"/>
        </w:rPr>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If you’re exploring career options, one factor to consider is the availability of academic jobs in your discipline and your competitiveness for those positions.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is often limited public information available to doctoral students about the academic job market for their specific discipline and program. This lesson will help you research the academic job market in your field and figure out what the market looks like for YOU as a candidate.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While this research can be a challenging exercise for many PhDs, it’s an important step in making an informed career decision about staying in academia or exploring non-academic career opportunities.</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10">
      <w:pPr>
        <w:numPr>
          <w:ilvl w:val="0"/>
          <w:numId w:val="1"/>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determine what faculty opportunities are available in my discipline or field of study?</w:t>
      </w:r>
    </w:p>
    <w:p w:rsidR="00000000" w:rsidDel="00000000" w:rsidP="00000000" w:rsidRDefault="00000000" w:rsidRPr="00000000" w14:paraId="00000011">
      <w:pPr>
        <w:numPr>
          <w:ilvl w:val="0"/>
          <w:numId w:val="1"/>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determine my competitiveness in the field?</w:t>
      </w:r>
    </w:p>
    <w:p w:rsidR="00000000" w:rsidDel="00000000" w:rsidP="00000000" w:rsidRDefault="00000000" w:rsidRPr="00000000" w14:paraId="00000012">
      <w:pPr>
        <w:numPr>
          <w:ilvl w:val="0"/>
          <w:numId w:val="1"/>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I decide to pursue an academic position, how do I best prepare?</w:t>
      </w:r>
    </w:p>
    <w:p w:rsidR="00000000" w:rsidDel="00000000" w:rsidP="00000000" w:rsidRDefault="00000000" w:rsidRPr="00000000" w14:paraId="00000013">
      <w:pPr>
        <w:spacing w:after="240" w:before="240" w:lineRule="auto"/>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Register to attend:</w:t>
      </w:r>
      <w:hyperlink r:id="rId6">
        <w:r w:rsidDel="00000000" w:rsidR="00000000" w:rsidRPr="00000000">
          <w:rPr>
            <w:rFonts w:ascii="Calibri" w:cs="Calibri" w:eastAsia="Calibri" w:hAnsi="Calibri"/>
            <w:b w:val="1"/>
            <w:bCs w:val="1"/>
            <w:rtl w:val="0"/>
          </w:rPr>
          <w:t xml:space="preserve"> </w:t>
        </w:r>
      </w:hyperlink>
      <w:hyperlink r:id="rId7">
        <w:r w:rsidDel="00000000" w:rsidR="00000000" w:rsidRPr="00000000">
          <w:rPr>
            <w:rFonts w:ascii="Calibri" w:cs="Calibri" w:eastAsia="Calibri" w:hAnsi="Calibri"/>
            <w:b w:val="1"/>
            <w:bCs w:val="1"/>
            <w:color w:val="1155cc"/>
            <w:u w:val="single"/>
            <w:rtl w:val="0"/>
          </w:rPr>
          <w:t xml:space="preserve">https://institutions.beyondprof.com/webinar-research-academic-job-market/</w:t>
        </w:r>
      </w:hyperlink>
      <w:r w:rsidDel="00000000" w:rsidR="00000000" w:rsidRPr="00000000">
        <w:rPr>
          <w:rtl w:val="0"/>
        </w:rPr>
      </w:r>
    </w:p>
    <w:p w:rsidR="00000000" w:rsidDel="00000000" w:rsidP="00000000" w:rsidRDefault="00000000" w:rsidRPr="00000000" w14:paraId="00000014">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5">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June 17 (12:00 - 12:45 pm ET): Should I Take My PhD and Start a Business?</w:t>
      </w:r>
      <w:r w:rsidDel="00000000" w:rsidR="00000000" w:rsidRPr="00000000">
        <w:rPr>
          <w:rtl w:val="0"/>
        </w:rPr>
      </w:r>
    </w:p>
    <w:p w:rsidR="00000000" w:rsidDel="00000000" w:rsidP="00000000" w:rsidRDefault="00000000" w:rsidRPr="00000000" w14:paraId="0000001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Many PhDs exploring their career options wonder whether entrepreneurship could be the right path. You've spent years developing deep expertise, so it's natural to ask whether that knowledge could be the foundation of a business.</w:t>
      </w:r>
    </w:p>
    <w:p w:rsidR="00000000" w:rsidDel="00000000" w:rsidP="00000000" w:rsidRDefault="00000000" w:rsidRPr="00000000" w14:paraId="0000001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starting a business requires the same focused strategy as a job search. Beyond your area of expertise, you'll need to understand the legal, financial, and operational realities of running a business: how to structure it, how to fund it, how to find clients, and how to sustain it.</w:t>
      </w:r>
    </w:p>
    <w:p w:rsidR="00000000" w:rsidDel="00000000" w:rsidP="00000000" w:rsidRDefault="00000000" w:rsidRPr="00000000" w14:paraId="0000001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Join the Beyond Prof team for this webinar where we'll provide a clear and honest overview of what it takes to start a business as a PhD — so you can make an informed decision about whether entrepreneurship is an option for you.</w:t>
      </w:r>
    </w:p>
    <w:p w:rsidR="00000000" w:rsidDel="00000000" w:rsidP="00000000" w:rsidRDefault="00000000" w:rsidRPr="00000000" w14:paraId="0000001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webinar is designed for doctoral students, PhDs, and postdocs from all academic disciplines who are wondering:</w:t>
      </w:r>
    </w:p>
    <w:p w:rsidR="00000000" w:rsidDel="00000000" w:rsidP="00000000" w:rsidRDefault="00000000" w:rsidRPr="00000000" w14:paraId="0000001E">
      <w:pPr>
        <w:numPr>
          <w:ilvl w:val="0"/>
          <w:numId w:val="2"/>
        </w:numPr>
        <w:spacing w:after="0" w:afterAutospacing="0" w:befor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does it realistically take to start and run a business?</w:t>
      </w:r>
    </w:p>
    <w:p w:rsidR="00000000" w:rsidDel="00000000" w:rsidP="00000000" w:rsidRDefault="00000000" w:rsidRPr="00000000" w14:paraId="0000001F">
      <w:pPr>
        <w:numPr>
          <w:ilvl w:val="0"/>
          <w:numId w:val="2"/>
        </w:numPr>
        <w:spacing w:after="0" w:afterAutospacing="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What legal, financial, and operational factors do I need to consider?</w:t>
      </w:r>
    </w:p>
    <w:p w:rsidR="00000000" w:rsidDel="00000000" w:rsidP="00000000" w:rsidRDefault="00000000" w:rsidRPr="00000000" w14:paraId="00000020">
      <w:pPr>
        <w:numPr>
          <w:ilvl w:val="0"/>
          <w:numId w:val="2"/>
        </w:numPr>
        <w:spacing w:after="240" w:before="0" w:beforeAutospacing="0" w:lineRule="auto"/>
        <w:ind w:left="720" w:hanging="360"/>
        <w:rPr>
          <w:rFonts w:ascii="Calibri" w:cs="Calibri" w:eastAsia="Calibri" w:hAnsi="Calibri"/>
        </w:rPr>
      </w:pPr>
      <w:r w:rsidDel="00000000" w:rsidR="00000000" w:rsidRPr="00000000">
        <w:rPr>
          <w:rFonts w:ascii="Calibri" w:cs="Calibri" w:eastAsia="Calibri" w:hAnsi="Calibri"/>
          <w:rtl w:val="0"/>
        </w:rPr>
        <w:t xml:space="preserve">How do I evaluate whether entrepreneurship is the right path for me — or whether I should focus on other opportunities?</w:t>
      </w:r>
    </w:p>
    <w:p w:rsidR="00000000" w:rsidDel="00000000" w:rsidP="00000000" w:rsidRDefault="00000000" w:rsidRPr="00000000" w14:paraId="00000021">
      <w:pPr>
        <w:spacing w:after="240" w:before="240" w:lineRule="auto"/>
        <w:rPr>
          <w:rFonts w:ascii="Calibri" w:cs="Calibri" w:eastAsia="Calibri" w:hAnsi="Calibri"/>
          <w:b w:val="1"/>
          <w:bCs w:val="1"/>
          <w:color w:val="1155cc"/>
          <w:u w:val="single"/>
        </w:rPr>
      </w:pPr>
      <w:r w:rsidDel="00000000" w:rsidR="00000000" w:rsidRPr="00000000">
        <w:rPr>
          <w:rFonts w:ascii="Calibri" w:cs="Calibri" w:eastAsia="Calibri" w:hAnsi="Calibri"/>
          <w:b w:val="1"/>
          <w:bCs w:val="1"/>
          <w:rtl w:val="0"/>
        </w:rPr>
        <w:t xml:space="preserve">Register to attend:</w:t>
      </w:r>
      <w:hyperlink r:id="rId8">
        <w:r w:rsidDel="00000000" w:rsidR="00000000" w:rsidRPr="00000000">
          <w:rPr>
            <w:rFonts w:ascii="Calibri" w:cs="Calibri" w:eastAsia="Calibri" w:hAnsi="Calibri"/>
            <w:b w:val="1"/>
            <w:bCs w:val="1"/>
            <w:rtl w:val="0"/>
          </w:rPr>
          <w:t xml:space="preserve"> </w:t>
        </w:r>
      </w:hyperlink>
      <w:hyperlink r:id="rId9">
        <w:r w:rsidDel="00000000" w:rsidR="00000000" w:rsidRPr="00000000">
          <w:rPr>
            <w:rFonts w:ascii="Calibri" w:cs="Calibri" w:eastAsia="Calibri" w:hAnsi="Calibri"/>
            <w:b w:val="1"/>
            <w:bCs w:val="1"/>
            <w:color w:val="1155cc"/>
            <w:u w:val="single"/>
            <w:rtl w:val="0"/>
          </w:rPr>
          <w:t xml:space="preserve">https://institutions.beyondprof.com/webinar-phd-entrepreneurship/</w:t>
        </w:r>
      </w:hyperlink>
      <w:r w:rsidDel="00000000" w:rsidR="00000000" w:rsidRPr="00000000">
        <w:rPr>
          <w:rtl w:val="0"/>
        </w:rPr>
      </w:r>
    </w:p>
    <w:p w:rsidR="00000000" w:rsidDel="00000000" w:rsidP="00000000" w:rsidRDefault="00000000" w:rsidRPr="00000000" w14:paraId="00000022">
      <w:pPr>
        <w:spacing w:after="240" w:before="240" w:lineRule="auto"/>
        <w:rPr>
          <w:rFonts w:ascii="Calibri" w:cs="Calibri" w:eastAsia="Calibri" w:hAnsi="Calibri"/>
          <w:b w:val="1"/>
          <w:bCs w:val="1"/>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jc w:val="right"/>
      <w:rPr/>
    </w:pPr>
    <w:r w:rsidDel="00000000" w:rsidR="00000000" w:rsidRPr="00000000">
      <w:rPr/>
      <w:drawing>
        <wp:inline distB="114300" distT="114300" distL="114300" distR="114300">
          <wp:extent cx="1947863" cy="4943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47863" cy="49434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institutions.beyondprof.com/webinar-phd-entrepreneurship/" TargetMode="External"/><Relationship Id="rId5" Type="http://schemas.openxmlformats.org/officeDocument/2006/relationships/styles" Target="styles.xml"/><Relationship Id="rId6" Type="http://schemas.openxmlformats.org/officeDocument/2006/relationships/hyperlink" Target="https://institutions.beyondprof.com/webinar-research-academic-job-market/" TargetMode="External"/><Relationship Id="rId7" Type="http://schemas.openxmlformats.org/officeDocument/2006/relationships/hyperlink" Target="https://institutions.beyondprof.com/webinar-research-academic-job-market/" TargetMode="External"/><Relationship Id="rId8" Type="http://schemas.openxmlformats.org/officeDocument/2006/relationships/hyperlink" Target="https://institutions.beyondprof.com/webinar-phd-entrepreneurshi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