
<file path=[Content_Types].xml><?xml version="1.0" encoding="utf-8"?>
<Types xmlns="http://schemas.openxmlformats.org/package/2006/content-types">
  <Default ContentType="application/xml" Extension="xml"/>
  <Default ContentType="image/png" Extension="png"/>
  <Default ContentType="image/jpeg" Extension="jpeg"/>
  <Default ContentType="image/jpeg" Extension="jpg"/>
  <Default ContentType="image/gif" Extension="gif"/>
  <Default ContentType="image/bmp" Extension="bmp"/>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Heading1"/>
        <w:outlineLvl w:val="0"/>
        <w:widowControl w:val="1"/>
      </w:pPr>
      <w:bookmarkStart w:id="gv6ggvsxabi9" w:name="_Tocbkpjjoy0lgwe"/>
      <w:r w:rsidR="00000000" w:rsidDel="00000000" w:rsidRPr="00000000">
        <w:rPr/>
        <w:t xml:space="preserve">Relaunch email - JOINT August 2026</w:t>
      </w:r>
      <w:bookmarkEnd w:id="gv6ggvsxabi9"/>
    </w:p>
    <w:p xmlns:w14="http://schemas.microsoft.com/office/word/2010/wordml" w:rsidR="00000000" w:rsidRDefault="00000000" w14:textId="00000000" w:rsidDel="00000000" w:rsidP="00000000" w:rsidRPr="00000000">
      <w:pPr>
        <w:pStyle w:val="Normal"/>
        <w:spacing w:before="240.0"/>
        <w:rPr>
          <w:b w:val="false"/>
          <w:rFonts w:ascii="Roboto" w:eastAsia="Roboto" w:hAnsi="Roboto" w:cs="Roboto"/>
          <w:i w:val="false"/>
          <w:strike w:val="false"/>
          <w:color w:val="000000"/>
          <w:spacing w:val="0"/>
          <w:sz w:val="24.0"/>
          <w:u w:val="none"/>
          <w:shd w:fill="FFFF00" w:val="clear" w:color="auto"/>
          <w:vertAlign w:val="baseline"/>
        </w:rPr>
        <w:widowControl w:val="1"/>
      </w:pPr>
      <w:r w:rsidR="00000000" w:rsidDel="00000000" w:rsidRPr="00000000">
        <w:rPr>
          <w:b w:val="false"/>
          <w:rFonts w:ascii="Roboto" w:eastAsia="Roboto" w:hAnsi="Roboto" w:cs="Roboto"/>
          <w:i w:val="false"/>
          <w:strike w:val="false"/>
          <w:color w:val="000000"/>
          <w:spacing w:val="0"/>
          <w:sz w:val="24.0"/>
          <w:u w:val="none"/>
          <w:shd w:fill="FFFF00" w:val="clear" w:color="auto"/>
          <w:vertAlign w:val="baseline"/>
        </w:rPr>
        <w:t xml:space="preserve">Note: If your institution subscribes to both the Master's and PhD Career Training Platforms, we recommend sending </w:t>
      </w:r>
      <w:r w:rsidR="00000000" w:rsidDel="00000000" w:rsidRPr="00000000">
        <w:rPr>
          <w:b w:val="true"/>
          <w:rFonts w:ascii="Roboto" w:eastAsia="Roboto" w:hAnsi="Roboto" w:cs="Roboto"/>
          <w:i w:val="false"/>
          <w:strike w:val="false"/>
          <w:color w:val="000000"/>
          <w:spacing w:val="0"/>
          <w:sz w:val="24.0"/>
          <w:u w:val="none"/>
          <w:shd w:fill="FFFF00" w:val="clear" w:color="auto"/>
          <w:vertAlign w:val="baseline"/>
        </w:rPr>
        <w:t xml:space="preserve">separate</w:t>
      </w:r>
      <w:r w:rsidR="00000000" w:rsidDel="00000000" w:rsidRPr="00000000">
        <w:rPr>
          <w:b w:val="false"/>
          <w:rFonts w:ascii="Roboto" w:eastAsia="Roboto" w:hAnsi="Roboto" w:cs="Roboto"/>
          <w:i w:val="false"/>
          <w:strike w:val="false"/>
          <w:color w:val="000000"/>
          <w:spacing w:val="0"/>
          <w:sz w:val="24.0"/>
          <w:u w:val="none"/>
          <w:shd w:fill="FFFF00" w:val="clear" w:color="auto"/>
          <w:vertAlign w:val="baseline"/>
        </w:rPr>
        <w:t xml:space="preserve"> emails to your master's and doctoral students/postdocs using the separate platform emails. </w:t>
      </w:r>
    </w:p>
    <w:p xmlns:w14="http://schemas.microsoft.com/office/word/2010/wordml" w:rsidR="00000000" w:rsidRDefault="00000000" w14:textId="00000000" w:rsidDel="00000000" w:rsidP="00000000" w:rsidRPr="00000000">
      <w:pPr>
        <w:pStyle w:val="Normal"/>
        <w:spacing w:before="240.0"/>
        <w:rPr>
          <w:b w:val="false"/>
          <w:rFonts w:ascii="Roboto" w:eastAsia="Roboto" w:hAnsi="Roboto" w:cs="Roboto"/>
          <w:i w:val="false"/>
          <w:strike w:val="false"/>
          <w:color w:val="000000"/>
          <w:spacing w:val="0"/>
          <w:sz w:val="24.0"/>
          <w:u w:val="none"/>
          <w:shd w:fill="FFFF00" w:val="clear" w:color="auto"/>
          <w:vertAlign w:val="baseline"/>
        </w:rPr>
        <w:widowControl w:val="1"/>
      </w:pPr>
      <w:r w:rsidR="00000000" w:rsidDel="00000000" w:rsidRPr="00000000">
        <w:rPr>
          <w:b w:val="false"/>
          <w:rFonts w:ascii="Roboto" w:eastAsia="Roboto" w:hAnsi="Roboto" w:cs="Roboto"/>
          <w:i w:val="false"/>
          <w:strike w:val="false"/>
          <w:color w:val="000000"/>
          <w:spacing w:val="0"/>
          <w:sz w:val="24.0"/>
          <w:u w:val="none"/>
          <w:shd w:fill="FFFF00" w:val="clear" w:color="auto"/>
          <w:vertAlign w:val="baseline"/>
        </w:rPr>
        <w:t xml:space="preserve">This template is for partners who may not be able to segment their emails and student populations.</w:t>
      </w:r>
      <w:r w:rsidR="00000000" w:rsidDel="00000000" w:rsidRPr="00000000">
        <w:rPr>
          <w:b w:val="false"/>
          <w:rFonts w:ascii="Roboto" w:eastAsia="Roboto" w:hAnsi="Roboto" w:cs="Roboto"/>
          <w:i w:val="false"/>
          <w:strike w:val="false"/>
          <w:color w:val="000000"/>
          <w:spacing w:val="0"/>
          <w:sz w:val="24.0"/>
          <w:u w:val="none"/>
          <w:shd w:fill="FFFF00" w:val="clear" w:color="auto"/>
          <w:vertAlign w:val="baseline"/>
        </w:rPr>
        <w:t xml:space="preserve"> </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Subject options:</w:t>
      </w:r>
    </w:p>
    <w:p xmlns:w14="http://schemas.microsoft.com/office/word/2010/wordml" w:rsidR="00000000" w:rsidRDefault="00000000" w14:textId="00000000" w:rsidDel="00000000" w:rsidP="00000000" w:rsidRPr="00000000">
      <w:pPr>
        <w:pStyle w:val="Normal"/>
        <w:spacing w:after="0.0"/>
        <w:rPr>
          <w:color w:val="000000"/>
          <w:sz w:val="24.0"/>
        </w:rPr>
        <w:numPr>
          <w:ilvl w:val="0"/>
          <w:numId w:val="96352648"/>
        </w:numPr>
        <w:widowControl w:val="1"/>
      </w:pPr>
      <w:r w:rsidR="00000000" w:rsidDel="00000000" w:rsidRPr="00000000">
        <w:rPr>
          <w:color w:val="000000"/>
          <w:vertAlign w:val="baseline"/>
        </w:rPr>
        <w:t xml:space="preserve">Career webinars for grad students — find the one for your program</w:t>
      </w:r>
    </w:p>
    <w:p xmlns:w14="http://schemas.microsoft.com/office/word/2010/wordml" w:rsidR="00000000" w:rsidRDefault="00000000" w14:textId="00000000" w:rsidDel="00000000" w:rsidP="00000000" w:rsidRPr="00000000">
      <w:pPr>
        <w:pStyle w:val="Normal"/>
        <w:spacing w:after="0.0"/>
        <w:rPr>
          <w:color w:val="000000"/>
          <w:sz w:val="24.0"/>
        </w:rPr>
        <w:numPr>
          <w:ilvl w:val="0"/>
          <w:numId w:val="96352648"/>
        </w:numPr>
        <w:widowControl w:val="1"/>
      </w:pPr>
      <w:r w:rsidR="00000000" w:rsidDel="00000000" w:rsidRPr="00000000">
        <w:rPr>
          <w:color w:val="000000"/>
          <w:vertAlign w:val="baseline"/>
        </w:rPr>
        <w:t xml:space="preserve">Master's and PhD students: two career webinars coming up in August</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Two career webinars are coming up this month, each designed to help you prepare for a job search. Find the one for your program below and register to attend.</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Both webinars are just the starting point. We subscribe to two career training platforms: </w:t>
      </w:r>
      <w:hyperlink xmlns:r="http://schemas.openxmlformats.org/officeDocument/2006/relationships" r:id="rId6">
        <w:r w:rsidR="00000000" w:rsidDel="00000000" w:rsidRPr="00000000">
          <w:rPr>
            <w:i w:val="true"/>
            <w:vertAlign w:val="baseline"/>
            <w:rStyle w:val="Hyperlink"/>
          </w:rPr>
          <w:t xml:space="preserve">Beyond Graduate School</w:t>
        </w:r>
      </w:hyperlink>
      <w:r w:rsidR="00000000" w:rsidDel="00000000" w:rsidRPr="00000000">
        <w:rPr>
          <w:color w:val="000000"/>
          <w:vertAlign w:val="baseline"/>
        </w:rPr>
        <w:t xml:space="preserve"> and </w:t>
      </w:r>
      <w:hyperlink xmlns:r="http://schemas.openxmlformats.org/officeDocument/2006/relationships" r:id="rId7">
        <w:r w:rsidR="00000000" w:rsidDel="00000000" w:rsidRPr="00000000">
          <w:rPr>
            <w:i w:val="true"/>
            <w:vertAlign w:val="baseline"/>
            <w:rStyle w:val="Hyperlink"/>
          </w:rPr>
          <w:t xml:space="preserve">Beyond the Professoriate</w:t>
        </w:r>
      </w:hyperlink>
      <w:r w:rsidR="00000000" w:rsidDel="00000000" w:rsidRPr="00000000">
        <w:rPr>
          <w:color w:val="000000"/>
          <w:vertAlign w:val="baseline"/>
        </w:rPr>
        <w:t xml:space="preserve">, built for master's students and for PhDs and postdocs, respectively. These platforms include on-demand trainings and career video libraries you can access anytime, with support for academic and nonacademic paths alike. </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We hope you'll log in to them and explore the resources available to you.</w:t>
      </w:r>
    </w:p>
    <w:p xmlns:w14="http://schemas.microsoft.com/office/word/2010/wordml" w:rsidR="00000000" w:rsidRDefault="00000000" w14:textId="00000000" w:rsidDel="00000000" w:rsidP="00000000" w:rsidRPr="00000000">
      <w:pPr>
        <w:widowControl w:val="1"/>
      </w:pPr>
      <w:r w:rsidR="00000000" w:rsidDel="00000000" w:rsidRPr="00000000">
        <w:pict>
          <v:rect xmlns:v="urn:schemas-microsoft-com:vml" xmlns:o="urn:schemas-microsoft-com:office:office" filled="f" fillcolor="#ffffff" strokecolor="808080" strokeweight="1.0pt" id="_x0000_i1025" style="width:468.0pt;height:1.0pt;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o:hr="t">
            <v:stroke dashstyle="inset"/>
          </v:rect>
        </w:pict>
      </w:r>
    </w:p>
    <w:p xmlns:w14="http://schemas.microsoft.com/office/word/2010/wordml" w:rsidR="00000000" w:rsidRDefault="00000000" w14:textId="00000000" w:rsidDel="00000000" w:rsidP="00000000" w:rsidRPr="00000000">
      <w:pPr>
        <w:pStyle w:val="Normal"/>
        <w:spacing w:before="240.0"/>
        <w:rPr>
          <w:b w:val="true"/>
          <w:color w:val="000000"/>
          <w:vertAlign w:val="baseline"/>
        </w:rPr>
        <w:widowControl w:val="1"/>
      </w:pP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FOR MASTER'S STUDENTS</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Between coursework, internships, and everything else on your plate, job searching probably feels like something to worry about later. But in today's market, it can take 6–9 months to land a job or internship.</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Why Master's Students Should Plan on a 9-Month Job Search</w:t>
      </w:r>
      <w:r w:rsidR="00000000" w:rsidDel="00000000" w:rsidRPr="00000000">
        <w:br w:type="line"/>
      </w:r>
      <w:r w:rsidR="00000000" w:rsidDel="00000000" w:rsidRPr="00000000">
        <w:rPr>
          <w:color w:val="000000"/>
          <w:vertAlign w:val="baseline"/>
        </w:rPr>
        <w:t xml:space="preserve"> August 19, 2026 | 2:00 – 2:30 PM ET | Online via Zoom</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Register to attend: </w:t>
      </w:r>
      <w:hyperlink xmlns:r="http://schemas.openxmlformats.org/officeDocument/2006/relationships" r:id="rId8">
        <w:r w:rsidR="00000000" w:rsidDel="00000000" w:rsidRPr="00000000">
          <w:rPr>
            <w:vertAlign w:val="baseline"/>
            <w:rStyle w:val="Hyperlink"/>
          </w:rPr>
          <w:t xml:space="preserve">https://institutions.beyondgradschool.com/webinar-plan-job-search/</w:t>
        </w:r>
      </w:hyperlink>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In a job market this competitive, starting early is critical. Employers now expect entry-level candidates to have experience, AI is reshaping hiring, and competition has jumped in recent years. In 30 minutes, you'll learn why planning needs to start before you feel ready, what a job search actually involves, and how to prepare while completing your degree. Can't make it live? Register anyway — the replay goes out to everyone who signs up.</w:t>
      </w:r>
    </w:p>
    <w:p xmlns:w14="http://schemas.microsoft.com/office/word/2010/wordml" w:rsidR="00000000" w:rsidRDefault="00000000" w14:textId="00000000" w:rsidDel="00000000" w:rsidP="00000000" w:rsidRPr="00000000">
      <w:pPr>
        <w:widowControl w:val="1"/>
      </w:pPr>
      <w:r w:rsidR="00000000" w:rsidDel="00000000" w:rsidRPr="00000000">
        <w:pict>
          <v:rect xmlns:v="urn:schemas-microsoft-com:vml" xmlns:o="urn:schemas-microsoft-com:office:office" filled="f" fillcolor="#ffffff" strokecolor="808080" strokeweight="1.0pt" id="_x0000_i1025" style="width:468.0pt;height:1.0pt;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o:hr="t">
            <v:stroke dashstyle="inset"/>
          </v:rect>
        </w:pict>
      </w:r>
    </w:p>
    <w:p xmlns:w14="http://schemas.microsoft.com/office/word/2010/wordml" w:rsidR="00000000" w:rsidRDefault="00000000" w14:textId="00000000" w:rsidDel="00000000" w:rsidP="00000000" w:rsidRPr="00000000">
      <w:pPr>
        <w:pStyle w:val="Normal"/>
        <w:spacing w:before="240.0"/>
        <w:rPr>
          <w:b w:val="true"/>
          <w:color w:val="000000"/>
          <w:vertAlign w:val="baseline"/>
        </w:rPr>
        <w:widowControl w:val="1"/>
      </w:pP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FOR PHD STUDENTS &amp; POSTDOCS</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The academic job market is highly competitive right now, and for those applying to faculty positions, preparing a strong application package is essential to standing out.</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b w:val="true"/>
          <w:color w:val="000000"/>
          <w:vertAlign w:val="baseline"/>
        </w:rPr>
        <w:t xml:space="preserve">Academic Job Market Boot Camp</w:t>
      </w:r>
      <w:r w:rsidR="00000000" w:rsidDel="00000000" w:rsidRPr="00000000">
        <w:br w:type="line"/>
      </w:r>
      <w:r w:rsidR="00000000" w:rsidDel="00000000" w:rsidRPr="00000000">
        <w:rPr>
          <w:color w:val="000000"/>
          <w:vertAlign w:val="baseline"/>
        </w:rPr>
        <w:t xml:space="preserve"> August 24–28, 2026 | 12:00 – 12:45 PM ET each day | Online via Zoom</w:t>
      </w:r>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Register to attend: </w:t>
      </w:r>
      <w:hyperlink xmlns:r="http://schemas.openxmlformats.org/officeDocument/2006/relationships" r:id="rId9">
        <w:r w:rsidR="00000000" w:rsidDel="00000000" w:rsidRPr="00000000">
          <w:rPr>
            <w:vertAlign w:val="baseline"/>
            <w:rStyle w:val="Hyperlink"/>
          </w:rPr>
          <w:t xml:space="preserve">https://institutions.beyondprof.com/webinar-academic-job-boot-camp-2026/</w:t>
        </w:r>
      </w:hyperlink>
    </w:p>
    <w:p xmlns:w14="http://schemas.microsoft.com/office/word/2010/wordml" w:rsidR="00000000" w:rsidRDefault="00000000" w14:textId="00000000" w:rsidDel="00000000" w:rsidP="00000000" w:rsidRPr="00000000">
      <w:pPr>
        <w:pStyle w:val="Normal"/>
        <w:spacing w:before="240.0"/>
        <w:rPr>
          <w:color w:val="000000"/>
          <w:sz w:val="24.0"/>
        </w:rPr>
        <w:widowControl w:val="1"/>
      </w:pPr>
      <w:r w:rsidR="00000000" w:rsidDel="00000000" w:rsidRPr="00000000">
        <w:rPr>
          <w:color w:val="000000"/>
          <w:vertAlign w:val="baseline"/>
        </w:rPr>
        <w:t xml:space="preserve">This five-day webinar series runs one focused session per day: Cover Letters (Aug 24), Research Statements (Aug 25), Teaching Statements (Aug 26), Teaching Portfolios (Aug 27), and What If I Am Not Successful This Year? (Aug 28). Can't attend every session? Register anyway — replays go out to everyone who signs up, so you can watch the ones you need.</w:t>
      </w:r>
    </w:p>
    <w:p xmlns:w14="http://schemas.microsoft.com/office/word/2010/wordml" w:rsidR="00000000" w:rsidRDefault="00000000" w14:textId="00000000" w:rsidDel="00000000" w:rsidP="00000000" w:rsidRPr="00000000">
      <w:pPr>
        <w:widowControl w:val="1"/>
      </w:pPr>
      <w:r w:rsidR="00000000" w:rsidDel="00000000" w:rsidRPr="00000000">
        <w:pict>
          <v:rect xmlns:v="urn:schemas-microsoft-com:vml" xmlns:o="urn:schemas-microsoft-com:office:office" filled="f" fillcolor="#ffffff" strokecolor="808080" strokeweight="1.0pt" id="_x0000_i1025" style="width:468.0pt;height:1.0pt;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o:hr="t">
            <v:stroke dashstyle="inset"/>
          </v:rect>
        </w:pict>
      </w:r>
    </w:p>
    <w:p xmlns:w14="http://schemas.microsoft.com/office/word/2010/wordml" w:rsidR="00000000" w:rsidRDefault="00000000" w14:textId="00000000" w:rsidDel="00000000" w:rsidP="00000000" w:rsidRPr="00000000">
      <w:pPr>
        <w:pStyle w:val="Normal"/>
        <w:spacing w:before="240.0"/>
        <w:rPr>
          <w:color w:val="000000"/>
          <w:sz w:val="24.0"/>
        </w:rPr>
        <w:widowControl w:val="1"/>
      </w:pPr>
    </w:p>
    <w:p xmlns:w14="http://schemas.microsoft.com/office/word/2010/wordml" w:rsidR="00000000" w:rsidRDefault="00000000" w14:textId="00000000" w:rsidDel="00000000" w:rsidP="00000000" w:rsidRPr="00000000">
      <w:pPr>
        <w:pStyle w:val="Heading2"/>
        <w:outlineLvl w:val="1"/>
        <w:widowControl w:val="1"/>
      </w:pPr>
    </w:p>
    <w:p xmlns:w14="http://schemas.microsoft.com/office/word/2010/wordml" w:rsidR="00000000" w:rsidRDefault="00000000" w14:textId="00000000" w:rsidDel="00000000" w:rsidP="00000000" w:rsidRPr="00000000">
      <w:pPr>
        <w:pStyle w:val="Normal"/>
        <w:rPr/>
        <w:widowControl w:val="1"/>
      </w:pPr>
    </w:p>
    <w:sectPr>
      <w:headerReference xmlns:r="http://schemas.openxmlformats.org/officeDocument/2006/relationships" r:id="rId10" w:type="default"/>
      <w:footerReference xmlns:r="http://schemas.openxmlformats.org/officeDocument/2006/relationships" r:id="rId11"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922a1b71-eba5-6e06-b2f1-1eccef427ab4"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5804673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6435005">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005835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1121320">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15783026">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num w:numId="61204929">
    <w:abstractNumId w:val="15783026"/>
  </w:num>
  <w:num w:numId="96352648">
    <w:abstractNumId w:val="71121320"/>
  </w:num>
  <w:num w:numId="38463505">
    <w:abstractNumId w:val="58046734"/>
  </w:num>
  <w:num w:numId="86459068">
    <w:abstractNumId w:val="20058351"/>
  </w:num>
  <w:num w:numId="31000494">
    <w:abstractNumId w:val="86435005"/>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text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text1"/>
      <w:sz w:val="24"/>
    </w:rPr>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text1" w:themeTint="F2"/>
      <w:sz w:val="48"/>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text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text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text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background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text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text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text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text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text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text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text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text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text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text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text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text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text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background1"/>
      <w:sz w:val="24"/>
    </w:rPr>
    <w:unhideWhenUsed/>
    <w:qFormat/>
  </w:style>
  <w:style w:type="character" w:styleId="Hyperlink">
    <w:name w:val="Hyperlink"/>
    <w:uiPriority w:val="1"/>
    <w:basedOn w:val="DefaultParagraphFont"/>
    <w:rPr>
      <w:color w:val="0000FF"/>
      <w:u w:val="single"/>
    </w:rPr>
    <w:unhideWhenUsed/>
    <w:qFormat/>
  </w:style>
</w:styles>
</file>

<file path=word/_rels/document.xml.rels><?xml version='1.0' encoding='UTF-8' ?><Relationships xmlns="http://schemas.openxmlformats.org/package/2006/relationships"><Relationship Id="rId1" Target="theme/theme1.xml" Type="http://schemas.openxmlformats.org/officeDocument/2006/relationships/theme" /><Relationship Id="rId2" Target="settings.xml" Type="http://schemas.openxmlformats.org/officeDocument/2006/relationships/settings"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ttps://institutions.beyondgradschool.com/" Type="http://schemas.openxmlformats.org/officeDocument/2006/relationships/hyperlink" TargetMode="External" /><Relationship Id="rId7" Target="https://institutions.beyondprof.com/" Type="http://schemas.openxmlformats.org/officeDocument/2006/relationships/hyperlink" TargetMode="External" /><Relationship Id="rId8" Target="https://institutions.beyondgradschool.com/webinar-plan-job-search/" Type="http://schemas.openxmlformats.org/officeDocument/2006/relationships/hyperlink" TargetMode="External" /><Relationship Id="rId9" Target="https://institutions.beyondprof.com/webinar-academic-job-boot-camp-2026/" Type="http://schemas.openxmlformats.org/officeDocument/2006/relationships/hyperlink" TargetMode="External" /><Relationship Id="rId10" Target="header1.xml" Type="http://schemas.openxmlformats.org/officeDocument/2006/relationships/header" /><Relationship Id="rId11" Target="footer2.xml" Type="http://schemas.openxmlformats.org/officeDocument/2006/relationships/footer" /></Relationships>
</file>

<file path=word/_rels/fontTable.xml.rels><?xml version='1.0' encoding='UTF-8' ?><Relationships xmlns="http://schemas.openxmlformats.org/package/2006/relationships"><Relationship Id="rId922a1b71-eba5-6e06-b2f1-1eccef427ab4" Target="fonts/Roboto.ttf" Type="http://schemas.openxmlformats.org/officeDocument/2006/relationships/font" /></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